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3B4E7C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 xml:space="preserve">.0 </w:t>
      </w:r>
    </w:p>
    <w:p w14:paraId="42CAF92D" w14:textId="4D72621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E40334">
        <w:rPr>
          <w:rFonts w:ascii="Arial" w:hAnsi="Arial" w:cs="Arial"/>
          <w:b/>
          <w:bCs/>
          <w:sz w:val="20"/>
          <w:szCs w:val="20"/>
          <w:lang w:eastAsia="en-GB"/>
        </w:rPr>
        <w:t>31/01/2020</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5B739CD8" w:rsidR="00F80C43" w:rsidRDefault="00342E6A">
      <w:pPr>
        <w:spacing w:after="0" w:line="240" w:lineRule="auto"/>
        <w:rPr>
          <w:rFonts w:ascii="Arial" w:hAnsi="Arial" w:cs="Arial"/>
          <w:b/>
          <w:bCs/>
          <w:sz w:val="20"/>
          <w:szCs w:val="20"/>
          <w:lang w:eastAsia="en-GB"/>
        </w:rPr>
      </w:pPr>
      <w:r>
        <w:rPr>
          <w:rFonts w:ascii="Arial" w:hAnsi="Arial" w:cs="Arial"/>
          <w:b/>
          <w:bCs/>
          <w:sz w:val="20"/>
          <w:szCs w:val="20"/>
          <w:lang w:eastAsia="en-GB"/>
        </w:rPr>
        <w:t>Sheffield</w:t>
      </w:r>
      <w:r w:rsidR="0083430E">
        <w:rPr>
          <w:rFonts w:ascii="Arial" w:hAnsi="Arial" w:cs="Arial"/>
          <w:b/>
          <w:bCs/>
          <w:sz w:val="20"/>
          <w:szCs w:val="20"/>
          <w:lang w:eastAsia="en-GB"/>
        </w:rPr>
        <w:t xml:space="preserve">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72748189" w14:textId="7D54E0D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7DB6D1F5" w:rsidR="00754729" w:rsidRPr="005E1E0E" w:rsidRDefault="00342E6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Selborne Road Medical Centre, 1 Selborne </w:t>
      </w:r>
      <w:proofErr w:type="gramStart"/>
      <w:r>
        <w:rPr>
          <w:rFonts w:ascii="Arial" w:hAnsi="Arial" w:cs="Arial"/>
          <w:b/>
          <w:bCs/>
          <w:sz w:val="20"/>
          <w:szCs w:val="20"/>
          <w:lang w:eastAsia="en-GB"/>
        </w:rPr>
        <w:t>Road ,</w:t>
      </w:r>
      <w:proofErr w:type="gramEnd"/>
      <w:r>
        <w:rPr>
          <w:rFonts w:ascii="Arial" w:hAnsi="Arial" w:cs="Arial"/>
          <w:b/>
          <w:bCs/>
          <w:sz w:val="20"/>
          <w:szCs w:val="20"/>
          <w:lang w:eastAsia="en-GB"/>
        </w:rPr>
        <w:t xml:space="preserve"> Sheffield, S10 5ND</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188C182" w:rsidR="00E37206" w:rsidRPr="005E1E0E" w:rsidRDefault="00342E6A" w:rsidP="00E37206">
      <w:pPr>
        <w:widowControl w:val="0"/>
        <w:spacing w:after="280"/>
        <w:rPr>
          <w:rFonts w:ascii="Arial" w:hAnsi="Arial" w:cs="Arial"/>
          <w:sz w:val="20"/>
          <w:szCs w:val="20"/>
        </w:rPr>
      </w:pPr>
      <w:bookmarkStart w:id="1" w:name="_GoBack"/>
      <w:r w:rsidRPr="00342E6A">
        <w:rPr>
          <w:rFonts w:ascii="Arial" w:hAnsi="Arial" w:cs="Arial"/>
          <w:bCs/>
          <w:sz w:val="20"/>
          <w:szCs w:val="20"/>
          <w:lang w:eastAsia="en-GB"/>
        </w:rPr>
        <w:t>Selborne Road Medical Centre</w:t>
      </w:r>
      <w:r w:rsidR="00E37206" w:rsidRPr="005E1E0E">
        <w:rPr>
          <w:rFonts w:ascii="Arial" w:hAnsi="Arial" w:cs="Arial"/>
          <w:sz w:val="20"/>
          <w:szCs w:val="20"/>
        </w:rPr>
        <w:t xml:space="preserve"> </w:t>
      </w:r>
      <w:bookmarkEnd w:id="1"/>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6"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42E6A"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lastRenderedPageBreak/>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42E6A" w:rsidP="007A3DA9">
      <w:pPr>
        <w:rPr>
          <w:rFonts w:ascii="Arial" w:hAnsi="Arial" w:cs="Arial"/>
          <w:sz w:val="20"/>
          <w:szCs w:val="20"/>
        </w:rPr>
      </w:pPr>
      <w:hyperlink r:id="rId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7"/>
  </w:num>
  <w:num w:numId="5">
    <w:abstractNumId w:val="1"/>
  </w:num>
  <w:num w:numId="6">
    <w:abstractNumId w:val="19"/>
  </w:num>
  <w:num w:numId="7">
    <w:abstractNumId w:val="3"/>
  </w:num>
  <w:num w:numId="8">
    <w:abstractNumId w:val="2"/>
  </w:num>
  <w:num w:numId="9">
    <w:abstractNumId w:val="10"/>
  </w:num>
  <w:num w:numId="10">
    <w:abstractNumId w:val="0"/>
  </w:num>
  <w:num w:numId="11">
    <w:abstractNumId w:val="8"/>
  </w:num>
  <w:num w:numId="12">
    <w:abstractNumId w:val="17"/>
  </w:num>
  <w:num w:numId="13">
    <w:abstractNumId w:val="5"/>
  </w:num>
  <w:num w:numId="14">
    <w:abstractNumId w:val="20"/>
  </w:num>
  <w:num w:numId="15">
    <w:abstractNumId w:val="11"/>
  </w:num>
  <w:num w:numId="16">
    <w:abstractNumId w:val="16"/>
  </w:num>
  <w:num w:numId="17">
    <w:abstractNumId w:val="9"/>
  </w:num>
  <w:num w:numId="18">
    <w:abstractNumId w:val="21"/>
  </w:num>
  <w:num w:numId="19">
    <w:abstractNumId w:val="15"/>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2E6A"/>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FEC3E-6422-461A-A053-02A3FC60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5063</Words>
  <Characters>28860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Gregory</cp:lastModifiedBy>
  <cp:revision>2</cp:revision>
  <cp:lastPrinted>2019-06-13T09:46:00Z</cp:lastPrinted>
  <dcterms:created xsi:type="dcterms:W3CDTF">2020-05-18T12:00:00Z</dcterms:created>
  <dcterms:modified xsi:type="dcterms:W3CDTF">2020-05-18T12:00:00Z</dcterms:modified>
</cp:coreProperties>
</file>